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A4" w:rsidRDefault="001252A4">
      <w:bookmarkStart w:id="0" w:name="_GoBack"/>
      <w:bookmarkEnd w:id="0"/>
    </w:p>
    <w:p w:rsidR="00AA6126" w:rsidRDefault="00AA6126"/>
    <w:p w:rsidR="00AA6126" w:rsidRPr="0020130E" w:rsidRDefault="00AA6126" w:rsidP="00AA6126">
      <w:pPr>
        <w:jc w:val="both"/>
        <w:rPr>
          <w:rFonts w:ascii="Arial" w:hAnsi="Arial" w:cs="Arial"/>
          <w:b/>
          <w:sz w:val="24"/>
          <w:szCs w:val="24"/>
        </w:rPr>
      </w:pPr>
      <w:r w:rsidRPr="0020130E">
        <w:rPr>
          <w:rFonts w:ascii="Arial" w:hAnsi="Arial" w:cs="Arial"/>
          <w:b/>
          <w:sz w:val="24"/>
          <w:szCs w:val="24"/>
        </w:rPr>
        <w:t xml:space="preserve">Parole Commissioners for Northern Ireland Privacy Notice </w:t>
      </w:r>
    </w:p>
    <w:p w:rsidR="00AA6126" w:rsidRPr="0020130E" w:rsidRDefault="00AA6126" w:rsidP="00AA6126">
      <w:pPr>
        <w:jc w:val="both"/>
        <w:rPr>
          <w:rFonts w:ascii="Arial" w:hAnsi="Arial" w:cs="Arial"/>
          <w:sz w:val="24"/>
          <w:szCs w:val="24"/>
        </w:rPr>
      </w:pPr>
    </w:p>
    <w:p w:rsidR="00AA6126" w:rsidRDefault="00AA6126" w:rsidP="00AA6126">
      <w:pPr>
        <w:jc w:val="both"/>
        <w:rPr>
          <w:rFonts w:ascii="Arial" w:hAnsi="Arial" w:cs="Arial"/>
        </w:rPr>
      </w:pPr>
      <w:r w:rsidRPr="0020130E">
        <w:rPr>
          <w:rFonts w:ascii="Arial" w:hAnsi="Arial" w:cs="Arial"/>
          <w:b/>
        </w:rPr>
        <w:t>Data Controller Name:</w:t>
      </w:r>
      <w:r>
        <w:rPr>
          <w:rFonts w:ascii="Arial" w:hAnsi="Arial" w:cs="Arial"/>
        </w:rPr>
        <w:t xml:space="preserve">  </w:t>
      </w:r>
      <w:r w:rsidRPr="00C54FFF">
        <w:rPr>
          <w:rFonts w:ascii="Arial" w:hAnsi="Arial" w:cs="Arial"/>
        </w:rPr>
        <w:t xml:space="preserve"> Parole </w:t>
      </w:r>
      <w:r>
        <w:rPr>
          <w:rFonts w:ascii="Arial" w:hAnsi="Arial" w:cs="Arial"/>
        </w:rPr>
        <w:t>Commissioners for Northern Ireland (PCNI)</w:t>
      </w:r>
    </w:p>
    <w:p w:rsidR="00AA6126" w:rsidRDefault="00AA6126" w:rsidP="00AA6126">
      <w:pPr>
        <w:jc w:val="both"/>
        <w:rPr>
          <w:rFonts w:ascii="Arial" w:hAnsi="Arial" w:cs="Arial"/>
        </w:rPr>
      </w:pPr>
      <w:r>
        <w:rPr>
          <w:rFonts w:ascii="Arial" w:hAnsi="Arial" w:cs="Arial"/>
        </w:rPr>
        <w:t>Address:  1</w:t>
      </w:r>
      <w:r w:rsidRPr="0020130E">
        <w:rPr>
          <w:rFonts w:ascii="Arial" w:hAnsi="Arial" w:cs="Arial"/>
          <w:vertAlign w:val="superscript"/>
        </w:rPr>
        <w:t>st</w:t>
      </w:r>
      <w:r>
        <w:rPr>
          <w:rFonts w:ascii="Arial" w:hAnsi="Arial" w:cs="Arial"/>
        </w:rPr>
        <w:t xml:space="preserve"> Floor, Mezzanine, Laganside Court, Victoria, Street Belfast, BT1 3LL</w:t>
      </w:r>
    </w:p>
    <w:p w:rsidR="00AA6126" w:rsidRDefault="00AA6126" w:rsidP="00AA6126">
      <w:pPr>
        <w:jc w:val="both"/>
        <w:rPr>
          <w:rFonts w:ascii="Arial" w:hAnsi="Arial" w:cs="Arial"/>
        </w:rPr>
      </w:pPr>
      <w:r>
        <w:rPr>
          <w:rFonts w:ascii="Arial" w:hAnsi="Arial" w:cs="Arial"/>
        </w:rPr>
        <w:t>Telephone:  028 90 412969</w:t>
      </w:r>
    </w:p>
    <w:p w:rsidR="00AA6126" w:rsidRDefault="00AA6126" w:rsidP="00AA6126">
      <w:pPr>
        <w:jc w:val="both"/>
        <w:rPr>
          <w:rStyle w:val="Hyperlink"/>
          <w:rFonts w:ascii="Arial" w:hAnsi="Arial" w:cs="Arial"/>
        </w:rPr>
      </w:pPr>
      <w:r>
        <w:rPr>
          <w:rFonts w:ascii="Arial" w:hAnsi="Arial" w:cs="Arial"/>
        </w:rPr>
        <w:t xml:space="preserve">Email: </w:t>
      </w:r>
      <w:hyperlink r:id="rId8" w:history="1">
        <w:r w:rsidR="007A170D" w:rsidRPr="00F27E62">
          <w:rPr>
            <w:rStyle w:val="Hyperlink"/>
            <w:rFonts w:ascii="Arial" w:hAnsi="Arial" w:cs="Arial"/>
          </w:rPr>
          <w:t>referrals@parolecomni.gov.uk</w:t>
        </w:r>
      </w:hyperlink>
    </w:p>
    <w:p w:rsidR="00AA6126" w:rsidRPr="00C54FFF" w:rsidRDefault="00AA6126" w:rsidP="00AA6126">
      <w:pPr>
        <w:jc w:val="both"/>
        <w:rPr>
          <w:rFonts w:ascii="Arial" w:hAnsi="Arial" w:cs="Arial"/>
        </w:rPr>
      </w:pPr>
    </w:p>
    <w:p w:rsidR="00413E70" w:rsidRDefault="00AA6126" w:rsidP="00AA6126">
      <w:r>
        <w:rPr>
          <w:rFonts w:ascii="Arial" w:hAnsi="Arial" w:cs="Arial"/>
        </w:rPr>
        <w:t xml:space="preserve">Data Protection Officer:  </w:t>
      </w:r>
      <w:hyperlink r:id="rId9" w:history="1">
        <w:r w:rsidR="00413E70" w:rsidRPr="00A1131D">
          <w:rPr>
            <w:rStyle w:val="Hyperlink"/>
          </w:rPr>
          <w:t>TribunalDPcomplaints@courtsni.gov.uk</w:t>
        </w:r>
      </w:hyperlink>
    </w:p>
    <w:p w:rsidR="00AA6126" w:rsidRDefault="00AA6126" w:rsidP="00AA6126">
      <w:pPr>
        <w:rPr>
          <w:rFonts w:ascii="Arial" w:hAnsi="Arial" w:cs="Arial"/>
        </w:rPr>
      </w:pPr>
      <w:r w:rsidRPr="00AA6126">
        <w:rPr>
          <w:rFonts w:ascii="Arial" w:hAnsi="Arial" w:cs="Arial"/>
        </w:rPr>
        <w:t>Judicial Data Protection Judge</w:t>
      </w:r>
      <w:r>
        <w:rPr>
          <w:rFonts w:ascii="Arial" w:hAnsi="Arial" w:cs="Arial"/>
        </w:rPr>
        <w:t xml:space="preserve">: Dr Kenny </w:t>
      </w:r>
      <w:proofErr w:type="spellStart"/>
      <w:r>
        <w:rPr>
          <w:rFonts w:ascii="Arial" w:hAnsi="Arial" w:cs="Arial"/>
        </w:rPr>
        <w:t>Mullan</w:t>
      </w:r>
      <w:proofErr w:type="spellEnd"/>
      <w:r>
        <w:rPr>
          <w:rFonts w:ascii="Arial" w:hAnsi="Arial" w:cs="Arial"/>
        </w:rPr>
        <w:t xml:space="preserve">  </w:t>
      </w:r>
    </w:p>
    <w:p w:rsidR="00AA6126" w:rsidRDefault="00AA6126" w:rsidP="00AA6126">
      <w:pPr>
        <w:rPr>
          <w:rFonts w:ascii="Arial" w:hAnsi="Arial" w:cs="Arial"/>
          <w:b/>
        </w:rPr>
      </w:pPr>
    </w:p>
    <w:p w:rsidR="00AA6126" w:rsidRDefault="00AA6126" w:rsidP="00AA6126">
      <w:pPr>
        <w:jc w:val="both"/>
        <w:rPr>
          <w:rFonts w:ascii="Arial" w:hAnsi="Arial" w:cs="Arial"/>
          <w:b/>
        </w:rPr>
      </w:pPr>
      <w:r w:rsidRPr="0020130E">
        <w:rPr>
          <w:rFonts w:ascii="Arial" w:hAnsi="Arial" w:cs="Arial"/>
          <w:b/>
        </w:rPr>
        <w:t>Why are you proc</w:t>
      </w:r>
      <w:r>
        <w:rPr>
          <w:rFonts w:ascii="Arial" w:hAnsi="Arial" w:cs="Arial"/>
          <w:b/>
        </w:rPr>
        <w:t>essing my personal information?</w:t>
      </w:r>
    </w:p>
    <w:p w:rsidR="00AA6126" w:rsidRPr="00C54FFF" w:rsidRDefault="00AA6126" w:rsidP="00AA6126">
      <w:pPr>
        <w:jc w:val="both"/>
        <w:rPr>
          <w:rFonts w:ascii="Arial" w:hAnsi="Arial" w:cs="Arial"/>
        </w:rPr>
      </w:pPr>
      <w:r w:rsidRPr="00613F15">
        <w:rPr>
          <w:rFonts w:ascii="Arial" w:hAnsi="Arial" w:cs="Arial"/>
        </w:rPr>
        <w:t>PCNI process personal data that is necessary for the following purposes:</w:t>
      </w:r>
    </w:p>
    <w:p w:rsidR="00AA6126" w:rsidRPr="00C54FFF" w:rsidRDefault="00AA6126" w:rsidP="00AA6126">
      <w:pPr>
        <w:pStyle w:val="ListParagraph"/>
        <w:numPr>
          <w:ilvl w:val="0"/>
          <w:numId w:val="2"/>
        </w:numPr>
        <w:jc w:val="both"/>
        <w:rPr>
          <w:rFonts w:ascii="Arial" w:hAnsi="Arial" w:cs="Arial"/>
        </w:rPr>
      </w:pPr>
      <w:r w:rsidRPr="00C54FFF">
        <w:rPr>
          <w:rFonts w:ascii="Arial" w:hAnsi="Arial" w:cs="Arial"/>
        </w:rPr>
        <w:t xml:space="preserve">the release </w:t>
      </w:r>
      <w:r>
        <w:rPr>
          <w:rFonts w:ascii="Arial" w:hAnsi="Arial" w:cs="Arial"/>
        </w:rPr>
        <w:t xml:space="preserve">and recall </w:t>
      </w:r>
      <w:r w:rsidRPr="00C54FFF">
        <w:rPr>
          <w:rFonts w:ascii="Arial" w:hAnsi="Arial" w:cs="Arial"/>
        </w:rPr>
        <w:t>of all life sentence prisoners</w:t>
      </w:r>
      <w:r>
        <w:rPr>
          <w:rFonts w:ascii="Arial" w:hAnsi="Arial" w:cs="Arial"/>
        </w:rPr>
        <w:t>;</w:t>
      </w:r>
    </w:p>
    <w:p w:rsidR="00AA6126" w:rsidRPr="00C54FFF" w:rsidRDefault="00AA6126" w:rsidP="00AA6126">
      <w:pPr>
        <w:pStyle w:val="ListParagraph"/>
        <w:numPr>
          <w:ilvl w:val="0"/>
          <w:numId w:val="2"/>
        </w:numPr>
        <w:jc w:val="both"/>
        <w:rPr>
          <w:rFonts w:ascii="Arial" w:hAnsi="Arial" w:cs="Arial"/>
        </w:rPr>
      </w:pPr>
      <w:r w:rsidRPr="00C54FFF">
        <w:rPr>
          <w:rFonts w:ascii="Arial" w:hAnsi="Arial" w:cs="Arial"/>
        </w:rPr>
        <w:t>the release and recall of prisoners sentenced to indeterminate and extended custodial sentences; and</w:t>
      </w:r>
    </w:p>
    <w:p w:rsidR="00AA6126" w:rsidRDefault="00AA6126" w:rsidP="00AA6126">
      <w:pPr>
        <w:pStyle w:val="ListParagraph"/>
        <w:numPr>
          <w:ilvl w:val="0"/>
          <w:numId w:val="2"/>
        </w:numPr>
        <w:jc w:val="both"/>
        <w:rPr>
          <w:rFonts w:ascii="Arial" w:hAnsi="Arial" w:cs="Arial"/>
        </w:rPr>
      </w:pPr>
      <w:proofErr w:type="gramStart"/>
      <w:r w:rsidRPr="00C54FFF">
        <w:rPr>
          <w:rFonts w:ascii="Arial" w:hAnsi="Arial" w:cs="Arial"/>
        </w:rPr>
        <w:t>the</w:t>
      </w:r>
      <w:proofErr w:type="gramEnd"/>
      <w:r w:rsidRPr="00C54FFF">
        <w:rPr>
          <w:rFonts w:ascii="Arial" w:hAnsi="Arial" w:cs="Arial"/>
        </w:rPr>
        <w:t xml:space="preserve"> recall of prisoners who receive other determinate sentences.</w:t>
      </w:r>
    </w:p>
    <w:p w:rsidR="00AA6126" w:rsidRPr="00FE072D" w:rsidRDefault="00AA6126" w:rsidP="00AA6126">
      <w:pPr>
        <w:jc w:val="both"/>
        <w:rPr>
          <w:rFonts w:ascii="Arial" w:hAnsi="Arial" w:cs="Arial"/>
        </w:rPr>
      </w:pPr>
      <w:r>
        <w:rPr>
          <w:rFonts w:ascii="Arial" w:hAnsi="Arial" w:cs="Arial"/>
        </w:rPr>
        <w:t xml:space="preserve">The Parole Commissioners’ secretariat provides administrative support to independent Parole Commissioners, who make their decisions on the basis of the information provided to them. </w:t>
      </w:r>
    </w:p>
    <w:p w:rsidR="00AA6126" w:rsidRDefault="00AA6126" w:rsidP="00AA6126">
      <w:pPr>
        <w:jc w:val="both"/>
        <w:rPr>
          <w:rFonts w:ascii="Arial" w:hAnsi="Arial" w:cs="Arial"/>
        </w:rPr>
      </w:pPr>
    </w:p>
    <w:p w:rsidR="00AA6126" w:rsidRPr="004724C9" w:rsidRDefault="00AA6126" w:rsidP="00AA6126">
      <w:pPr>
        <w:jc w:val="both"/>
        <w:rPr>
          <w:rFonts w:ascii="Arial" w:hAnsi="Arial" w:cs="Arial"/>
          <w:b/>
        </w:rPr>
      </w:pPr>
      <w:r w:rsidRPr="004724C9">
        <w:rPr>
          <w:rFonts w:ascii="Arial" w:hAnsi="Arial" w:cs="Arial"/>
          <w:b/>
        </w:rPr>
        <w:t xml:space="preserve">Legal basis for processing </w:t>
      </w:r>
    </w:p>
    <w:p w:rsidR="00AA6126" w:rsidRDefault="00AA6126" w:rsidP="00AA6126">
      <w:pPr>
        <w:jc w:val="both"/>
        <w:rPr>
          <w:rFonts w:ascii="Arial" w:hAnsi="Arial" w:cs="Arial"/>
        </w:rPr>
      </w:pPr>
      <w:r>
        <w:rPr>
          <w:rFonts w:ascii="Arial" w:hAnsi="Arial" w:cs="Arial"/>
        </w:rPr>
        <w:t>Personal data is primarily processed by PCNI as it is necessary for the performance of a public task (administration of justice) or to comply with legislation underpinning our functions which includes the following:</w:t>
      </w:r>
    </w:p>
    <w:p w:rsidR="00AA6126" w:rsidRPr="005035D2" w:rsidRDefault="00AA6126" w:rsidP="00AA6126">
      <w:pPr>
        <w:pStyle w:val="ListParagraph"/>
        <w:numPr>
          <w:ilvl w:val="0"/>
          <w:numId w:val="9"/>
        </w:numPr>
        <w:jc w:val="both"/>
        <w:rPr>
          <w:rFonts w:ascii="Arial" w:hAnsi="Arial" w:cs="Arial"/>
        </w:rPr>
      </w:pPr>
      <w:r w:rsidRPr="005035D2">
        <w:rPr>
          <w:rFonts w:ascii="Arial" w:hAnsi="Arial" w:cs="Arial"/>
        </w:rPr>
        <w:t xml:space="preserve">The Criminal Justice (Northern Ireland) Order 2008; </w:t>
      </w:r>
    </w:p>
    <w:p w:rsidR="00AA6126" w:rsidRPr="00C54FFF" w:rsidRDefault="00AA6126" w:rsidP="00AA6126">
      <w:pPr>
        <w:pStyle w:val="ListParagraph"/>
        <w:numPr>
          <w:ilvl w:val="0"/>
          <w:numId w:val="1"/>
        </w:numPr>
        <w:jc w:val="both"/>
        <w:rPr>
          <w:rFonts w:ascii="Arial" w:hAnsi="Arial" w:cs="Arial"/>
        </w:rPr>
      </w:pPr>
      <w:r w:rsidRPr="00C54FFF">
        <w:rPr>
          <w:rFonts w:ascii="Arial" w:hAnsi="Arial" w:cs="Arial"/>
        </w:rPr>
        <w:t>The Life Sentences (Northern Ireland) Order 200</w:t>
      </w:r>
      <w:r>
        <w:rPr>
          <w:rFonts w:ascii="Arial" w:hAnsi="Arial" w:cs="Arial"/>
        </w:rPr>
        <w:t>1</w:t>
      </w:r>
      <w:r w:rsidRPr="00C54FFF">
        <w:rPr>
          <w:rFonts w:ascii="Arial" w:hAnsi="Arial" w:cs="Arial"/>
        </w:rPr>
        <w:t>; and</w:t>
      </w:r>
    </w:p>
    <w:p w:rsidR="00AA6126" w:rsidRPr="00C54FFF" w:rsidRDefault="00AA6126" w:rsidP="00AA6126">
      <w:pPr>
        <w:pStyle w:val="ListParagraph"/>
        <w:numPr>
          <w:ilvl w:val="0"/>
          <w:numId w:val="1"/>
        </w:numPr>
        <w:jc w:val="both"/>
        <w:rPr>
          <w:rFonts w:ascii="Arial" w:hAnsi="Arial" w:cs="Arial"/>
        </w:rPr>
      </w:pPr>
      <w:r w:rsidRPr="00C54FFF">
        <w:rPr>
          <w:rFonts w:ascii="Arial" w:hAnsi="Arial" w:cs="Arial"/>
        </w:rPr>
        <w:t>The Parole Commissioners’ Rules (Northern Ireland) 2009</w:t>
      </w:r>
      <w:r>
        <w:rPr>
          <w:rFonts w:ascii="Arial" w:hAnsi="Arial" w:cs="Arial"/>
        </w:rPr>
        <w:t>.</w:t>
      </w:r>
    </w:p>
    <w:p w:rsidR="00AA6126" w:rsidRDefault="00AA6126" w:rsidP="00AA6126">
      <w:pPr>
        <w:jc w:val="both"/>
        <w:rPr>
          <w:rFonts w:ascii="Arial" w:hAnsi="Arial" w:cs="Arial"/>
        </w:rPr>
      </w:pPr>
      <w:r>
        <w:rPr>
          <w:rFonts w:ascii="Arial" w:hAnsi="Arial" w:cs="Arial"/>
        </w:rPr>
        <w:t xml:space="preserve">The PCNI processes two types of personal data. </w:t>
      </w:r>
    </w:p>
    <w:p w:rsidR="00AA6126" w:rsidRDefault="00AA6126" w:rsidP="00AA6126">
      <w:pPr>
        <w:pStyle w:val="ListParagraph"/>
        <w:numPr>
          <w:ilvl w:val="0"/>
          <w:numId w:val="8"/>
        </w:numPr>
        <w:jc w:val="both"/>
        <w:rPr>
          <w:rFonts w:ascii="Arial" w:hAnsi="Arial" w:cs="Arial"/>
        </w:rPr>
      </w:pPr>
      <w:r w:rsidRPr="005035D2">
        <w:rPr>
          <w:rFonts w:ascii="Arial" w:hAnsi="Arial" w:cs="Arial"/>
        </w:rPr>
        <w:t xml:space="preserve">Corporate governance and finance personal data which is regulated under GDPR </w:t>
      </w:r>
      <w:r>
        <w:rPr>
          <w:rFonts w:ascii="Arial" w:hAnsi="Arial" w:cs="Arial"/>
        </w:rPr>
        <w:t>and is</w:t>
      </w:r>
      <w:r w:rsidRPr="005035D2">
        <w:rPr>
          <w:rFonts w:ascii="Arial" w:hAnsi="Arial" w:cs="Arial"/>
        </w:rPr>
        <w:t xml:space="preserve"> considered “necessary for the performance of a task carried out in the public interest or in the exercise of official authority vested in the controller “ in terms of Article 6</w:t>
      </w:r>
      <w:r>
        <w:rPr>
          <w:rFonts w:ascii="Arial" w:hAnsi="Arial" w:cs="Arial"/>
        </w:rPr>
        <w:t>(e)</w:t>
      </w:r>
      <w:r w:rsidRPr="005035D2">
        <w:rPr>
          <w:rFonts w:ascii="Arial" w:hAnsi="Arial" w:cs="Arial"/>
        </w:rPr>
        <w:t xml:space="preserve"> of the GDPR.</w:t>
      </w:r>
      <w:r>
        <w:rPr>
          <w:rFonts w:ascii="Arial" w:hAnsi="Arial" w:cs="Arial"/>
        </w:rPr>
        <w:t>; and</w:t>
      </w:r>
    </w:p>
    <w:p w:rsidR="00AA6126" w:rsidRPr="005035D2" w:rsidRDefault="00AA6126" w:rsidP="00AA6126">
      <w:pPr>
        <w:pStyle w:val="ListParagraph"/>
        <w:numPr>
          <w:ilvl w:val="0"/>
          <w:numId w:val="8"/>
        </w:numPr>
        <w:jc w:val="both"/>
        <w:rPr>
          <w:rFonts w:ascii="Arial" w:hAnsi="Arial" w:cs="Arial"/>
        </w:rPr>
      </w:pPr>
      <w:r>
        <w:rPr>
          <w:rFonts w:ascii="Arial" w:hAnsi="Arial" w:cs="Arial"/>
        </w:rPr>
        <w:t>Operational case personal data which is not regulated by GDPR.  The regime followed is a separate EU Directive in respect of data protection in law enforcement cases.  PCNI processes personal data in cases for “law enforcement purposes” specifically for the purposes of the execution of criminal penalties, including the safeguarding against and the prevention of threats to public security.</w:t>
      </w:r>
    </w:p>
    <w:p w:rsidR="00AA6126" w:rsidRDefault="00AA6126" w:rsidP="00AA6126">
      <w:pPr>
        <w:jc w:val="both"/>
        <w:rPr>
          <w:rFonts w:ascii="Arial" w:hAnsi="Arial" w:cs="Arial"/>
          <w:b/>
        </w:rPr>
      </w:pPr>
    </w:p>
    <w:p w:rsidR="00AA6126" w:rsidRPr="0029680C" w:rsidRDefault="00AA6126" w:rsidP="00AA6126">
      <w:pPr>
        <w:jc w:val="both"/>
        <w:rPr>
          <w:rFonts w:ascii="Arial" w:hAnsi="Arial" w:cs="Arial"/>
          <w:b/>
        </w:rPr>
      </w:pPr>
      <w:r w:rsidRPr="0029680C">
        <w:rPr>
          <w:rFonts w:ascii="Arial" w:hAnsi="Arial" w:cs="Arial"/>
          <w:b/>
        </w:rPr>
        <w:t>What categories of personal data are you processing?</w:t>
      </w:r>
    </w:p>
    <w:p w:rsidR="00AA6126" w:rsidRDefault="00AA6126" w:rsidP="00AA6126">
      <w:pPr>
        <w:jc w:val="both"/>
        <w:rPr>
          <w:rFonts w:ascii="Arial" w:hAnsi="Arial" w:cs="Arial"/>
        </w:rPr>
      </w:pPr>
      <w:r>
        <w:rPr>
          <w:rFonts w:ascii="Arial" w:hAnsi="Arial" w:cs="Arial"/>
        </w:rPr>
        <w:t>The PCNI processes sensitive personal information.  Categories of information processed include:</w:t>
      </w:r>
    </w:p>
    <w:p w:rsidR="00AA6126" w:rsidRDefault="00AA6126" w:rsidP="00AA6126">
      <w:pPr>
        <w:pStyle w:val="ListParagraph"/>
        <w:numPr>
          <w:ilvl w:val="0"/>
          <w:numId w:val="5"/>
        </w:numPr>
        <w:jc w:val="both"/>
        <w:rPr>
          <w:rFonts w:ascii="Arial" w:hAnsi="Arial" w:cs="Arial"/>
        </w:rPr>
      </w:pPr>
      <w:r>
        <w:rPr>
          <w:rFonts w:ascii="Arial" w:hAnsi="Arial" w:cs="Arial"/>
        </w:rPr>
        <w:t>Name, date of birth and Prison Number;</w:t>
      </w:r>
    </w:p>
    <w:p w:rsidR="00AA6126" w:rsidRDefault="00AA6126" w:rsidP="00AA6126">
      <w:pPr>
        <w:pStyle w:val="ListParagraph"/>
        <w:numPr>
          <w:ilvl w:val="0"/>
          <w:numId w:val="5"/>
        </w:numPr>
        <w:jc w:val="both"/>
        <w:rPr>
          <w:rFonts w:ascii="Arial" w:hAnsi="Arial" w:cs="Arial"/>
        </w:rPr>
      </w:pPr>
      <w:r>
        <w:rPr>
          <w:rFonts w:ascii="Arial" w:hAnsi="Arial" w:cs="Arial"/>
        </w:rPr>
        <w:t>Police Records, interviews records, police statements;</w:t>
      </w:r>
    </w:p>
    <w:p w:rsidR="00AA6126" w:rsidRDefault="00AA6126" w:rsidP="00AA6126">
      <w:pPr>
        <w:pStyle w:val="ListParagraph"/>
        <w:numPr>
          <w:ilvl w:val="0"/>
          <w:numId w:val="5"/>
        </w:numPr>
        <w:jc w:val="both"/>
        <w:rPr>
          <w:rFonts w:ascii="Arial" w:hAnsi="Arial" w:cs="Arial"/>
        </w:rPr>
      </w:pPr>
      <w:r>
        <w:rPr>
          <w:rFonts w:ascii="Arial" w:hAnsi="Arial" w:cs="Arial"/>
        </w:rPr>
        <w:t>Witness statements;</w:t>
      </w:r>
    </w:p>
    <w:p w:rsidR="00AA6126" w:rsidRDefault="00AA6126" w:rsidP="00AA6126">
      <w:pPr>
        <w:pStyle w:val="ListParagraph"/>
        <w:numPr>
          <w:ilvl w:val="0"/>
          <w:numId w:val="5"/>
        </w:numPr>
        <w:jc w:val="both"/>
        <w:rPr>
          <w:rFonts w:ascii="Arial" w:hAnsi="Arial" w:cs="Arial"/>
        </w:rPr>
      </w:pPr>
      <w:r>
        <w:rPr>
          <w:rFonts w:ascii="Arial" w:hAnsi="Arial" w:cs="Arial"/>
        </w:rPr>
        <w:lastRenderedPageBreak/>
        <w:t>Criminal records;</w:t>
      </w:r>
    </w:p>
    <w:p w:rsidR="00AA6126" w:rsidRDefault="00AA6126" w:rsidP="00AA6126">
      <w:pPr>
        <w:pStyle w:val="ListParagraph"/>
        <w:numPr>
          <w:ilvl w:val="0"/>
          <w:numId w:val="5"/>
        </w:numPr>
        <w:jc w:val="both"/>
        <w:rPr>
          <w:rFonts w:ascii="Arial" w:hAnsi="Arial" w:cs="Arial"/>
        </w:rPr>
      </w:pPr>
      <w:r>
        <w:rPr>
          <w:rFonts w:ascii="Arial" w:hAnsi="Arial" w:cs="Arial"/>
        </w:rPr>
        <w:t>Medical reports;</w:t>
      </w:r>
    </w:p>
    <w:p w:rsidR="00AA6126" w:rsidRDefault="00AA6126" w:rsidP="00AA6126">
      <w:pPr>
        <w:pStyle w:val="ListParagraph"/>
        <w:numPr>
          <w:ilvl w:val="0"/>
          <w:numId w:val="5"/>
        </w:numPr>
        <w:jc w:val="both"/>
        <w:rPr>
          <w:rFonts w:ascii="Arial" w:hAnsi="Arial" w:cs="Arial"/>
        </w:rPr>
      </w:pPr>
      <w:r>
        <w:rPr>
          <w:rFonts w:ascii="Arial" w:hAnsi="Arial" w:cs="Arial"/>
        </w:rPr>
        <w:t xml:space="preserve">Psychology/psychiatric reports; </w:t>
      </w:r>
    </w:p>
    <w:p w:rsidR="00AA6126" w:rsidRDefault="00AA6126" w:rsidP="00AA6126">
      <w:pPr>
        <w:pStyle w:val="ListParagraph"/>
        <w:numPr>
          <w:ilvl w:val="0"/>
          <w:numId w:val="5"/>
        </w:numPr>
        <w:jc w:val="both"/>
        <w:rPr>
          <w:rFonts w:ascii="Arial" w:hAnsi="Arial" w:cs="Arial"/>
        </w:rPr>
      </w:pPr>
      <w:r>
        <w:rPr>
          <w:rFonts w:ascii="Arial" w:hAnsi="Arial" w:cs="Arial"/>
        </w:rPr>
        <w:t>Court records; and</w:t>
      </w:r>
    </w:p>
    <w:p w:rsidR="00AA6126" w:rsidRPr="008F3643" w:rsidRDefault="00AA6126" w:rsidP="00AA6126">
      <w:pPr>
        <w:pStyle w:val="ListParagraph"/>
        <w:numPr>
          <w:ilvl w:val="0"/>
          <w:numId w:val="5"/>
        </w:numPr>
        <w:jc w:val="both"/>
        <w:rPr>
          <w:rFonts w:ascii="Arial" w:hAnsi="Arial" w:cs="Arial"/>
        </w:rPr>
      </w:pPr>
      <w:r>
        <w:rPr>
          <w:rFonts w:ascii="Arial" w:hAnsi="Arial" w:cs="Arial"/>
        </w:rPr>
        <w:t>Details of legal representation (representative’s name, email and correspondence address.</w:t>
      </w:r>
    </w:p>
    <w:p w:rsidR="00AA6126" w:rsidRDefault="00AA6126" w:rsidP="00AA6126">
      <w:pPr>
        <w:jc w:val="both"/>
        <w:rPr>
          <w:rFonts w:ascii="Arial" w:hAnsi="Arial" w:cs="Arial"/>
          <w:b/>
        </w:rPr>
      </w:pPr>
    </w:p>
    <w:p w:rsidR="00AA6126" w:rsidRPr="0029680C" w:rsidRDefault="00AA6126" w:rsidP="00AA6126">
      <w:pPr>
        <w:jc w:val="both"/>
        <w:rPr>
          <w:rFonts w:ascii="Arial" w:hAnsi="Arial" w:cs="Arial"/>
          <w:b/>
        </w:rPr>
      </w:pPr>
      <w:r w:rsidRPr="0029680C">
        <w:rPr>
          <w:rFonts w:ascii="Arial" w:hAnsi="Arial" w:cs="Arial"/>
          <w:b/>
        </w:rPr>
        <w:t>Where do you get my personal data from?</w:t>
      </w:r>
    </w:p>
    <w:p w:rsidR="00AA6126" w:rsidRDefault="00AA6126" w:rsidP="00AA6126">
      <w:pPr>
        <w:jc w:val="both"/>
        <w:rPr>
          <w:rFonts w:ascii="Arial" w:hAnsi="Arial" w:cs="Arial"/>
        </w:rPr>
      </w:pPr>
      <w:r>
        <w:rPr>
          <w:rFonts w:ascii="Arial" w:hAnsi="Arial" w:cs="Arial"/>
        </w:rPr>
        <w:t>The Parole Commissioners for Northern Ireland receive personal information from:</w:t>
      </w:r>
    </w:p>
    <w:p w:rsidR="00AA6126" w:rsidRDefault="00AA6126" w:rsidP="00AA6126">
      <w:pPr>
        <w:pStyle w:val="ListParagraph"/>
        <w:numPr>
          <w:ilvl w:val="0"/>
          <w:numId w:val="6"/>
        </w:numPr>
        <w:jc w:val="both"/>
        <w:rPr>
          <w:rFonts w:ascii="Arial" w:hAnsi="Arial" w:cs="Arial"/>
        </w:rPr>
      </w:pPr>
      <w:r>
        <w:rPr>
          <w:rFonts w:ascii="Arial" w:hAnsi="Arial" w:cs="Arial"/>
        </w:rPr>
        <w:t>The Department of Justice or the Secretary of state; and;</w:t>
      </w:r>
    </w:p>
    <w:p w:rsidR="00AA6126" w:rsidRDefault="00AA6126" w:rsidP="00AA6126">
      <w:pPr>
        <w:pStyle w:val="ListParagraph"/>
        <w:numPr>
          <w:ilvl w:val="0"/>
          <w:numId w:val="6"/>
        </w:numPr>
        <w:jc w:val="both"/>
        <w:rPr>
          <w:rFonts w:ascii="Arial" w:hAnsi="Arial" w:cs="Arial"/>
        </w:rPr>
      </w:pPr>
      <w:r>
        <w:rPr>
          <w:rFonts w:ascii="Arial" w:hAnsi="Arial" w:cs="Arial"/>
        </w:rPr>
        <w:t>Probation Board for Northern Ireland</w:t>
      </w:r>
    </w:p>
    <w:p w:rsidR="00AA6126" w:rsidRPr="0029680C" w:rsidRDefault="00AA6126" w:rsidP="00AA6126">
      <w:pPr>
        <w:jc w:val="both"/>
        <w:rPr>
          <w:rFonts w:ascii="Arial" w:hAnsi="Arial" w:cs="Arial"/>
          <w:b/>
        </w:rPr>
      </w:pPr>
      <w:r w:rsidRPr="0029680C">
        <w:rPr>
          <w:rFonts w:ascii="Arial" w:hAnsi="Arial" w:cs="Arial"/>
          <w:b/>
        </w:rPr>
        <w:t>Do you share my personal data with anyone else?</w:t>
      </w:r>
    </w:p>
    <w:p w:rsidR="00AA6126" w:rsidRPr="00C54FFF" w:rsidRDefault="00AA6126" w:rsidP="00AA6126">
      <w:pPr>
        <w:jc w:val="both"/>
        <w:rPr>
          <w:rFonts w:ascii="Arial" w:hAnsi="Arial" w:cs="Arial"/>
        </w:rPr>
      </w:pPr>
      <w:r w:rsidRPr="00C54FFF">
        <w:rPr>
          <w:rFonts w:ascii="Arial" w:hAnsi="Arial" w:cs="Arial"/>
        </w:rPr>
        <w:t>The Office of the Parole Commissioners</w:t>
      </w:r>
      <w:r>
        <w:rPr>
          <w:rFonts w:ascii="Arial" w:hAnsi="Arial" w:cs="Arial"/>
        </w:rPr>
        <w:t>’ Secretariat</w:t>
      </w:r>
      <w:r w:rsidRPr="00C54FFF">
        <w:rPr>
          <w:rFonts w:ascii="Arial" w:hAnsi="Arial" w:cs="Arial"/>
        </w:rPr>
        <w:t xml:space="preserve"> shares </w:t>
      </w:r>
      <w:r>
        <w:rPr>
          <w:rFonts w:ascii="Arial" w:hAnsi="Arial" w:cs="Arial"/>
        </w:rPr>
        <w:t>personal</w:t>
      </w:r>
      <w:r w:rsidRPr="00C54FFF">
        <w:rPr>
          <w:rFonts w:ascii="Arial" w:hAnsi="Arial" w:cs="Arial"/>
        </w:rPr>
        <w:t xml:space="preserve"> data with:</w:t>
      </w:r>
    </w:p>
    <w:p w:rsidR="00AA6126" w:rsidRPr="00C54FFF" w:rsidRDefault="00AA6126" w:rsidP="00AA6126">
      <w:pPr>
        <w:pStyle w:val="ListParagraph"/>
        <w:numPr>
          <w:ilvl w:val="0"/>
          <w:numId w:val="3"/>
        </w:numPr>
        <w:jc w:val="both"/>
        <w:rPr>
          <w:rFonts w:ascii="Arial" w:hAnsi="Arial" w:cs="Arial"/>
        </w:rPr>
      </w:pPr>
      <w:r>
        <w:rPr>
          <w:rFonts w:ascii="Arial" w:hAnsi="Arial" w:cs="Arial"/>
        </w:rPr>
        <w:t xml:space="preserve">Parole Commissioners, </w:t>
      </w:r>
      <w:r w:rsidRPr="00C54FFF">
        <w:rPr>
          <w:rFonts w:ascii="Arial" w:hAnsi="Arial" w:cs="Arial"/>
        </w:rPr>
        <w:t xml:space="preserve">to facilitate their </w:t>
      </w:r>
      <w:r>
        <w:rPr>
          <w:rFonts w:ascii="Arial" w:hAnsi="Arial" w:cs="Arial"/>
        </w:rPr>
        <w:t>decision making process</w:t>
      </w:r>
      <w:r w:rsidRPr="00C54FFF">
        <w:rPr>
          <w:rFonts w:ascii="Arial" w:hAnsi="Arial" w:cs="Arial"/>
        </w:rPr>
        <w:t>;</w:t>
      </w:r>
      <w:r>
        <w:rPr>
          <w:rFonts w:ascii="Arial" w:hAnsi="Arial" w:cs="Arial"/>
        </w:rPr>
        <w:t xml:space="preserve"> and</w:t>
      </w:r>
    </w:p>
    <w:p w:rsidR="00AA6126" w:rsidRPr="00C54FFF" w:rsidRDefault="00AA6126" w:rsidP="00AA6126">
      <w:pPr>
        <w:pStyle w:val="ListParagraph"/>
        <w:numPr>
          <w:ilvl w:val="0"/>
          <w:numId w:val="3"/>
        </w:numPr>
        <w:jc w:val="both"/>
        <w:rPr>
          <w:rFonts w:ascii="Arial" w:hAnsi="Arial" w:cs="Arial"/>
        </w:rPr>
      </w:pPr>
      <w:r w:rsidRPr="00C54FFF">
        <w:rPr>
          <w:rFonts w:ascii="Arial" w:hAnsi="Arial" w:cs="Arial"/>
        </w:rPr>
        <w:t xml:space="preserve">In the event of a judicial review the </w:t>
      </w:r>
      <w:r>
        <w:rPr>
          <w:rFonts w:ascii="Arial" w:hAnsi="Arial" w:cs="Arial"/>
        </w:rPr>
        <w:t>data</w:t>
      </w:r>
      <w:r w:rsidRPr="00C54FFF">
        <w:rPr>
          <w:rFonts w:ascii="Arial" w:hAnsi="Arial" w:cs="Arial"/>
        </w:rPr>
        <w:t xml:space="preserve"> will be shared with the PCNI legal Advisors</w:t>
      </w:r>
      <w:r>
        <w:rPr>
          <w:rFonts w:ascii="Arial" w:hAnsi="Arial" w:cs="Arial"/>
        </w:rPr>
        <w:t>, who will represent the PCNI at court</w:t>
      </w:r>
      <w:r w:rsidRPr="00C54FFF">
        <w:rPr>
          <w:rFonts w:ascii="Arial" w:hAnsi="Arial" w:cs="Arial"/>
        </w:rPr>
        <w:t>.</w:t>
      </w:r>
    </w:p>
    <w:p w:rsidR="00AA6126" w:rsidRPr="00BC070C" w:rsidRDefault="00AA6126" w:rsidP="00AA6126">
      <w:pPr>
        <w:jc w:val="both"/>
        <w:rPr>
          <w:rFonts w:ascii="Arial" w:hAnsi="Arial" w:cs="Arial"/>
        </w:rPr>
      </w:pPr>
      <w:r w:rsidRPr="00BC070C">
        <w:rPr>
          <w:rFonts w:ascii="Arial" w:hAnsi="Arial" w:cs="Arial"/>
        </w:rPr>
        <w:t xml:space="preserve">The </w:t>
      </w:r>
      <w:r>
        <w:rPr>
          <w:rFonts w:ascii="Arial" w:hAnsi="Arial" w:cs="Arial"/>
        </w:rPr>
        <w:t xml:space="preserve">Parole Commissioners’ </w:t>
      </w:r>
      <w:r w:rsidRPr="00BC070C">
        <w:rPr>
          <w:rFonts w:ascii="Arial" w:hAnsi="Arial" w:cs="Arial"/>
        </w:rPr>
        <w:t>Direction</w:t>
      </w:r>
      <w:r>
        <w:rPr>
          <w:rFonts w:ascii="Arial" w:hAnsi="Arial" w:cs="Arial"/>
        </w:rPr>
        <w:t>s</w:t>
      </w:r>
      <w:r w:rsidRPr="00BC070C">
        <w:rPr>
          <w:rFonts w:ascii="Arial" w:hAnsi="Arial" w:cs="Arial"/>
        </w:rPr>
        <w:t>, Provisional Direction</w:t>
      </w:r>
      <w:r>
        <w:rPr>
          <w:rFonts w:ascii="Arial" w:hAnsi="Arial" w:cs="Arial"/>
        </w:rPr>
        <w:t>s</w:t>
      </w:r>
      <w:r w:rsidRPr="00BC070C">
        <w:rPr>
          <w:rFonts w:ascii="Arial" w:hAnsi="Arial" w:cs="Arial"/>
        </w:rPr>
        <w:t xml:space="preserve"> </w:t>
      </w:r>
      <w:r>
        <w:rPr>
          <w:rFonts w:ascii="Arial" w:hAnsi="Arial" w:cs="Arial"/>
        </w:rPr>
        <w:t>and or</w:t>
      </w:r>
      <w:r w:rsidRPr="00BC070C">
        <w:rPr>
          <w:rFonts w:ascii="Arial" w:hAnsi="Arial" w:cs="Arial"/>
        </w:rPr>
        <w:t xml:space="preserve"> Decision</w:t>
      </w:r>
      <w:r>
        <w:rPr>
          <w:rFonts w:ascii="Arial" w:hAnsi="Arial" w:cs="Arial"/>
        </w:rPr>
        <w:t>s</w:t>
      </w:r>
      <w:r w:rsidRPr="00BC070C">
        <w:rPr>
          <w:rFonts w:ascii="Arial" w:hAnsi="Arial" w:cs="Arial"/>
        </w:rPr>
        <w:t xml:space="preserve"> </w:t>
      </w:r>
      <w:r>
        <w:rPr>
          <w:rFonts w:ascii="Arial" w:hAnsi="Arial" w:cs="Arial"/>
        </w:rPr>
        <w:t xml:space="preserve">(the Decision of the Parole Commissioners) </w:t>
      </w:r>
      <w:r w:rsidRPr="00BC070C">
        <w:rPr>
          <w:rFonts w:ascii="Arial" w:hAnsi="Arial" w:cs="Arial"/>
        </w:rPr>
        <w:t>will be shared with</w:t>
      </w:r>
      <w:r>
        <w:rPr>
          <w:rFonts w:ascii="Arial" w:hAnsi="Arial" w:cs="Arial"/>
        </w:rPr>
        <w:t xml:space="preserve">: </w:t>
      </w:r>
    </w:p>
    <w:p w:rsidR="00AA6126" w:rsidRDefault="00AA6126" w:rsidP="00AA6126">
      <w:pPr>
        <w:pStyle w:val="ListParagraph"/>
        <w:numPr>
          <w:ilvl w:val="0"/>
          <w:numId w:val="4"/>
        </w:numPr>
        <w:jc w:val="both"/>
        <w:rPr>
          <w:rFonts w:ascii="Arial" w:hAnsi="Arial" w:cs="Arial"/>
        </w:rPr>
      </w:pPr>
      <w:r>
        <w:rPr>
          <w:rFonts w:ascii="Arial" w:hAnsi="Arial" w:cs="Arial"/>
        </w:rPr>
        <w:t>The Department of Justice or the Secretary of State;</w:t>
      </w:r>
    </w:p>
    <w:p w:rsidR="00AA6126" w:rsidRDefault="00AA6126" w:rsidP="00AA6126">
      <w:pPr>
        <w:pStyle w:val="ListParagraph"/>
        <w:numPr>
          <w:ilvl w:val="0"/>
          <w:numId w:val="4"/>
        </w:numPr>
        <w:jc w:val="both"/>
        <w:rPr>
          <w:rFonts w:ascii="Arial" w:hAnsi="Arial" w:cs="Arial"/>
        </w:rPr>
      </w:pPr>
      <w:r>
        <w:rPr>
          <w:rFonts w:ascii="Arial" w:hAnsi="Arial" w:cs="Arial"/>
        </w:rPr>
        <w:t>The prisoner’s representatives; and</w:t>
      </w:r>
    </w:p>
    <w:p w:rsidR="00AA6126" w:rsidRPr="00BC070C" w:rsidRDefault="00AA6126" w:rsidP="00AA6126">
      <w:pPr>
        <w:pStyle w:val="ListParagraph"/>
        <w:numPr>
          <w:ilvl w:val="0"/>
          <w:numId w:val="4"/>
        </w:numPr>
        <w:jc w:val="both"/>
        <w:rPr>
          <w:rFonts w:ascii="Arial" w:hAnsi="Arial" w:cs="Arial"/>
        </w:rPr>
      </w:pPr>
      <w:r>
        <w:rPr>
          <w:rFonts w:ascii="Arial" w:hAnsi="Arial" w:cs="Arial"/>
        </w:rPr>
        <w:t>The Prisoner via the Northern Ireland Prison Service.</w:t>
      </w:r>
    </w:p>
    <w:p w:rsidR="00AA6126" w:rsidRDefault="00AA6126" w:rsidP="00AA6126">
      <w:pPr>
        <w:jc w:val="both"/>
        <w:rPr>
          <w:rFonts w:ascii="Arial" w:hAnsi="Arial" w:cs="Arial"/>
          <w:b/>
        </w:rPr>
      </w:pPr>
    </w:p>
    <w:p w:rsidR="00AA6126" w:rsidRPr="0029680C" w:rsidRDefault="00AA6126" w:rsidP="00AA6126">
      <w:pPr>
        <w:jc w:val="both"/>
        <w:rPr>
          <w:rFonts w:ascii="Arial" w:hAnsi="Arial" w:cs="Arial"/>
          <w:b/>
        </w:rPr>
      </w:pPr>
      <w:r w:rsidRPr="0029680C">
        <w:rPr>
          <w:rFonts w:ascii="Arial" w:hAnsi="Arial" w:cs="Arial"/>
          <w:b/>
        </w:rPr>
        <w:t>Do you transfer my personal data to other countries?</w:t>
      </w:r>
    </w:p>
    <w:p w:rsidR="00AA6126" w:rsidRDefault="00AA6126" w:rsidP="00AA6126">
      <w:pPr>
        <w:jc w:val="both"/>
        <w:rPr>
          <w:rFonts w:ascii="Arial" w:hAnsi="Arial" w:cs="Arial"/>
        </w:rPr>
      </w:pPr>
      <w:r>
        <w:rPr>
          <w:rFonts w:ascii="Arial" w:hAnsi="Arial" w:cs="Arial"/>
        </w:rPr>
        <w:t>The Parole Commissioners do not share personal data with other countries.</w:t>
      </w:r>
    </w:p>
    <w:p w:rsidR="00AA6126" w:rsidRPr="00E2406C" w:rsidRDefault="00AA6126" w:rsidP="00AA6126">
      <w:pPr>
        <w:jc w:val="both"/>
        <w:rPr>
          <w:rFonts w:ascii="Arial" w:hAnsi="Arial" w:cs="Arial"/>
          <w:b/>
        </w:rPr>
      </w:pPr>
      <w:r w:rsidRPr="00E2406C">
        <w:rPr>
          <w:rFonts w:ascii="Arial" w:hAnsi="Arial" w:cs="Arial"/>
          <w:b/>
        </w:rPr>
        <w:t>How long do you keep my personal data?</w:t>
      </w:r>
    </w:p>
    <w:p w:rsidR="00AA6126" w:rsidRPr="0029680C" w:rsidRDefault="00AA6126" w:rsidP="00AA6126">
      <w:pPr>
        <w:jc w:val="both"/>
        <w:rPr>
          <w:rFonts w:ascii="Arial" w:hAnsi="Arial" w:cs="Arial"/>
        </w:rPr>
      </w:pPr>
      <w:r>
        <w:rPr>
          <w:rFonts w:ascii="Arial" w:hAnsi="Arial" w:cs="Arial"/>
        </w:rPr>
        <w:t xml:space="preserve">The PCNI will only retain your data for as long as necessary to process your referral process through the Parole Commissioners for Northern Ireland, and in line with our the Department of Justice Retention and Disposal Schedule. </w:t>
      </w:r>
    </w:p>
    <w:p w:rsidR="00AA6126" w:rsidRDefault="00AA6126" w:rsidP="00AA6126">
      <w:pPr>
        <w:jc w:val="both"/>
        <w:rPr>
          <w:rFonts w:ascii="Arial" w:hAnsi="Arial" w:cs="Arial"/>
        </w:rPr>
      </w:pPr>
    </w:p>
    <w:p w:rsidR="00AA6126" w:rsidRPr="00E2406C" w:rsidRDefault="00AA6126" w:rsidP="00AA6126">
      <w:pPr>
        <w:jc w:val="both"/>
        <w:rPr>
          <w:rFonts w:ascii="Arial" w:hAnsi="Arial" w:cs="Arial"/>
          <w:b/>
        </w:rPr>
      </w:pPr>
      <w:r w:rsidRPr="00E2406C">
        <w:rPr>
          <w:rFonts w:ascii="Arial" w:hAnsi="Arial" w:cs="Arial"/>
          <w:b/>
        </w:rPr>
        <w:t>(If you use automated decision making or profiling) How do you use my personal data to make decisions about me?</w:t>
      </w:r>
    </w:p>
    <w:p w:rsidR="00AA6126" w:rsidRDefault="00AA6126" w:rsidP="00AA6126">
      <w:pPr>
        <w:jc w:val="both"/>
        <w:rPr>
          <w:rFonts w:ascii="Arial" w:hAnsi="Arial" w:cs="Arial"/>
        </w:rPr>
      </w:pPr>
      <w:r>
        <w:rPr>
          <w:rFonts w:ascii="Arial" w:hAnsi="Arial" w:cs="Arial"/>
        </w:rPr>
        <w:t>The PCNI do not use automated decision making or profiling.</w:t>
      </w:r>
    </w:p>
    <w:p w:rsidR="00AA6126" w:rsidRDefault="00AA6126" w:rsidP="00AA6126">
      <w:pPr>
        <w:jc w:val="both"/>
        <w:rPr>
          <w:rFonts w:ascii="Arial" w:hAnsi="Arial" w:cs="Arial"/>
          <w:b/>
        </w:rPr>
      </w:pPr>
    </w:p>
    <w:p w:rsidR="00AA6126" w:rsidRPr="00E2406C" w:rsidRDefault="00AA6126" w:rsidP="00AA6126">
      <w:pPr>
        <w:jc w:val="both"/>
        <w:rPr>
          <w:rFonts w:ascii="Arial" w:hAnsi="Arial" w:cs="Arial"/>
          <w:b/>
        </w:rPr>
      </w:pPr>
      <w:r w:rsidRPr="00E2406C">
        <w:rPr>
          <w:rFonts w:ascii="Arial" w:hAnsi="Arial" w:cs="Arial"/>
          <w:b/>
        </w:rPr>
        <w:t>What rights do I have?</w:t>
      </w:r>
    </w:p>
    <w:p w:rsidR="00AA6126" w:rsidRPr="005035D2" w:rsidRDefault="00AA6126" w:rsidP="00AA6126">
      <w:pPr>
        <w:numPr>
          <w:ilvl w:val="0"/>
          <w:numId w:val="7"/>
        </w:numPr>
        <w:spacing w:after="240"/>
        <w:contextualSpacing/>
        <w:jc w:val="both"/>
        <w:rPr>
          <w:rFonts w:ascii="Arial" w:eastAsia="Times New Roman" w:hAnsi="Arial" w:cs="Arial"/>
          <w:lang w:eastAsia="en-GB"/>
        </w:rPr>
      </w:pPr>
      <w:r w:rsidRPr="00E2406C">
        <w:rPr>
          <w:rFonts w:ascii="Arial" w:eastAsia="Times New Roman" w:hAnsi="Arial" w:cs="Arial"/>
          <w:color w:val="000000"/>
          <w:lang w:eastAsia="en-GB"/>
        </w:rPr>
        <w:t>You have the right to obtain confirmation that your data is being</w:t>
      </w:r>
      <w:r w:rsidRPr="00E2406C">
        <w:rPr>
          <w:rFonts w:eastAsia="Times New Roman" w:cs="Arial"/>
          <w:color w:val="000000"/>
          <w:lang w:eastAsia="en-GB"/>
        </w:rPr>
        <w:t xml:space="preserve"> </w:t>
      </w:r>
      <w:hyperlink r:id="rId10" w:history="1">
        <w:r w:rsidRPr="005035D2">
          <w:rPr>
            <w:rFonts w:ascii="Arial" w:eastAsia="Times New Roman" w:hAnsi="Arial" w:cs="Arial"/>
            <w:lang w:eastAsia="en-GB"/>
          </w:rPr>
          <w:t>processed, and access to your personal data</w:t>
        </w:r>
      </w:hyperlink>
    </w:p>
    <w:p w:rsidR="00AA6126" w:rsidRPr="005035D2" w:rsidRDefault="00AA6126" w:rsidP="00AA6126">
      <w:pPr>
        <w:numPr>
          <w:ilvl w:val="0"/>
          <w:numId w:val="7"/>
        </w:numPr>
        <w:spacing w:after="240"/>
        <w:contextualSpacing/>
        <w:jc w:val="both"/>
        <w:rPr>
          <w:rFonts w:ascii="Arial" w:eastAsia="Calibri" w:hAnsi="Arial" w:cs="Arial"/>
          <w:u w:val="single"/>
        </w:rPr>
      </w:pPr>
      <w:r w:rsidRPr="00E2406C">
        <w:rPr>
          <w:rFonts w:ascii="Arial" w:eastAsia="Calibri" w:hAnsi="Arial" w:cs="Arial"/>
          <w:color w:val="000000"/>
        </w:rPr>
        <w:t>You are entitled to have personal data</w:t>
      </w:r>
      <w:r w:rsidRPr="00E2406C">
        <w:rPr>
          <w:rFonts w:eastAsia="Calibri" w:cs="Arial"/>
          <w:color w:val="000000"/>
        </w:rPr>
        <w:t xml:space="preserve"> </w:t>
      </w:r>
      <w:hyperlink r:id="rId11" w:history="1">
        <w:r w:rsidRPr="005035D2">
          <w:rPr>
            <w:rFonts w:ascii="Arial" w:eastAsia="Calibri" w:hAnsi="Arial" w:cs="Arial"/>
          </w:rPr>
          <w:t>rectified if it is inaccurate or incomplete</w:t>
        </w:r>
      </w:hyperlink>
    </w:p>
    <w:p w:rsidR="00AA6126" w:rsidRPr="005035D2" w:rsidRDefault="00AA6126" w:rsidP="00AA6126">
      <w:pPr>
        <w:numPr>
          <w:ilvl w:val="0"/>
          <w:numId w:val="7"/>
        </w:numPr>
        <w:spacing w:after="240"/>
        <w:contextualSpacing/>
        <w:jc w:val="both"/>
        <w:rPr>
          <w:rFonts w:ascii="Arial" w:eastAsia="Calibri" w:hAnsi="Arial" w:cs="Arial"/>
        </w:rPr>
      </w:pPr>
      <w:r w:rsidRPr="00E2406C">
        <w:rPr>
          <w:rFonts w:ascii="Arial" w:eastAsia="Calibri" w:hAnsi="Arial" w:cs="Arial"/>
          <w:color w:val="000000"/>
        </w:rPr>
        <w:t xml:space="preserve">You have a right to have personal data erased and to prevent processing, </w:t>
      </w:r>
      <w:hyperlink r:id="rId12" w:history="1">
        <w:r w:rsidRPr="005035D2">
          <w:rPr>
            <w:rFonts w:ascii="Arial" w:eastAsia="Calibri" w:hAnsi="Arial" w:cs="Arial"/>
          </w:rPr>
          <w:t>in specific circumstances</w:t>
        </w:r>
      </w:hyperlink>
      <w:r w:rsidRPr="005035D2">
        <w:rPr>
          <w:rFonts w:ascii="Arial" w:eastAsia="Calibri" w:hAnsi="Arial" w:cs="Arial"/>
        </w:rPr>
        <w:t xml:space="preserve"> </w:t>
      </w:r>
    </w:p>
    <w:p w:rsidR="00AA6126" w:rsidRPr="00E2406C" w:rsidRDefault="00AA6126" w:rsidP="00AA6126">
      <w:pPr>
        <w:numPr>
          <w:ilvl w:val="0"/>
          <w:numId w:val="7"/>
        </w:numPr>
        <w:spacing w:after="240"/>
        <w:contextualSpacing/>
        <w:jc w:val="both"/>
        <w:rPr>
          <w:rFonts w:ascii="Arial" w:eastAsia="Calibri" w:hAnsi="Arial" w:cs="Arial"/>
          <w:color w:val="000000"/>
        </w:rPr>
      </w:pPr>
      <w:r w:rsidRPr="00E2406C">
        <w:rPr>
          <w:rFonts w:ascii="Arial" w:eastAsia="Calibri" w:hAnsi="Arial" w:cs="Arial"/>
          <w:color w:val="000000"/>
        </w:rPr>
        <w:t xml:space="preserve">You have the right to ‘block’ or suppress processing of personal data, </w:t>
      </w:r>
      <w:hyperlink r:id="rId13" w:history="1">
        <w:r w:rsidRPr="005035D2">
          <w:rPr>
            <w:rFonts w:ascii="Arial" w:eastAsia="Calibri" w:hAnsi="Arial" w:cs="Arial"/>
          </w:rPr>
          <w:t>in specific circumstances</w:t>
        </w:r>
      </w:hyperlink>
    </w:p>
    <w:p w:rsidR="00AA6126" w:rsidRPr="00354312" w:rsidRDefault="00AA6126" w:rsidP="00AA6126">
      <w:pPr>
        <w:numPr>
          <w:ilvl w:val="0"/>
          <w:numId w:val="7"/>
        </w:numPr>
        <w:spacing w:after="240"/>
        <w:contextualSpacing/>
        <w:jc w:val="both"/>
        <w:rPr>
          <w:rFonts w:ascii="Arial" w:eastAsia="Calibri" w:hAnsi="Arial" w:cs="Arial"/>
          <w:color w:val="000000"/>
        </w:rPr>
      </w:pPr>
      <w:r w:rsidRPr="00E2406C">
        <w:rPr>
          <w:rFonts w:ascii="Arial" w:eastAsia="Calibri" w:hAnsi="Arial" w:cs="Arial"/>
          <w:color w:val="000000"/>
        </w:rPr>
        <w:t>You have the right to data portability</w:t>
      </w:r>
      <w:r w:rsidRPr="005035D2">
        <w:rPr>
          <w:rFonts w:ascii="Arial" w:eastAsia="Calibri" w:hAnsi="Arial" w:cs="Arial"/>
        </w:rPr>
        <w:t xml:space="preserve">, </w:t>
      </w:r>
      <w:hyperlink r:id="rId14" w:history="1">
        <w:r w:rsidRPr="005035D2">
          <w:rPr>
            <w:rFonts w:ascii="Arial" w:eastAsia="Calibri" w:hAnsi="Arial" w:cs="Arial"/>
          </w:rPr>
          <w:t>in specific circumstances</w:t>
        </w:r>
      </w:hyperlink>
    </w:p>
    <w:p w:rsidR="00AA6126" w:rsidRPr="005035D2" w:rsidRDefault="00AA6126" w:rsidP="00AA6126">
      <w:pPr>
        <w:numPr>
          <w:ilvl w:val="0"/>
          <w:numId w:val="7"/>
        </w:numPr>
        <w:spacing w:after="240"/>
        <w:contextualSpacing/>
        <w:jc w:val="both"/>
        <w:rPr>
          <w:rFonts w:ascii="Arial" w:eastAsia="Calibri" w:hAnsi="Arial" w:cs="Arial"/>
          <w:bCs/>
        </w:rPr>
      </w:pPr>
      <w:r w:rsidRPr="00E2406C">
        <w:rPr>
          <w:rFonts w:ascii="Arial" w:eastAsia="Calibri" w:hAnsi="Arial" w:cs="Arial"/>
          <w:bCs/>
          <w:color w:val="000000"/>
        </w:rPr>
        <w:t>You have the right to object to the processing</w:t>
      </w:r>
      <w:r w:rsidRPr="00E2406C">
        <w:rPr>
          <w:rFonts w:eastAsia="Calibri" w:cs="Arial"/>
          <w:b/>
          <w:bCs/>
          <w:color w:val="000000"/>
        </w:rPr>
        <w:t xml:space="preserve">, </w:t>
      </w:r>
      <w:hyperlink r:id="rId15" w:history="1">
        <w:r w:rsidRPr="005035D2">
          <w:rPr>
            <w:rFonts w:ascii="Arial" w:eastAsia="Calibri" w:hAnsi="Arial" w:cs="Arial"/>
          </w:rPr>
          <w:t>in specific circumstances</w:t>
        </w:r>
      </w:hyperlink>
    </w:p>
    <w:p w:rsidR="00AA6126" w:rsidRPr="005035D2" w:rsidRDefault="00AA6126" w:rsidP="00AA6126">
      <w:pPr>
        <w:numPr>
          <w:ilvl w:val="0"/>
          <w:numId w:val="7"/>
        </w:numPr>
        <w:spacing w:after="240"/>
        <w:contextualSpacing/>
        <w:jc w:val="both"/>
        <w:rPr>
          <w:rFonts w:ascii="Arial" w:eastAsia="Calibri" w:hAnsi="Arial" w:cs="Arial"/>
          <w:bCs/>
        </w:rPr>
      </w:pPr>
      <w:r w:rsidRPr="005035D2">
        <w:rPr>
          <w:rFonts w:ascii="Arial" w:eastAsia="Calibri" w:hAnsi="Arial" w:cs="Arial"/>
          <w:bCs/>
        </w:rPr>
        <w:t xml:space="preserve">You have rights </w:t>
      </w:r>
      <w:r w:rsidRPr="00354312">
        <w:rPr>
          <w:rFonts w:ascii="Arial" w:eastAsia="Calibri" w:hAnsi="Arial" w:cs="Arial"/>
          <w:bCs/>
        </w:rPr>
        <w:t>in relation to</w:t>
      </w:r>
      <w:r w:rsidRPr="00354312">
        <w:rPr>
          <w:rFonts w:eastAsia="Calibri" w:cs="Times New Roman"/>
          <w:b/>
          <w:bCs/>
        </w:rPr>
        <w:t xml:space="preserve"> </w:t>
      </w:r>
      <w:hyperlink r:id="rId16" w:history="1">
        <w:r w:rsidRPr="005035D2">
          <w:rPr>
            <w:rFonts w:ascii="Arial" w:eastAsia="Calibri" w:hAnsi="Arial" w:cs="Arial"/>
          </w:rPr>
          <w:t>automated decision making and profiling</w:t>
        </w:r>
      </w:hyperlink>
      <w:r w:rsidRPr="005035D2">
        <w:rPr>
          <w:rFonts w:ascii="Arial" w:eastAsia="Calibri" w:hAnsi="Arial" w:cs="Arial"/>
        </w:rPr>
        <w:t>.</w:t>
      </w:r>
    </w:p>
    <w:p w:rsidR="00AA6126" w:rsidRPr="005035D2" w:rsidRDefault="00AA6126" w:rsidP="00AA6126">
      <w:pPr>
        <w:spacing w:after="240"/>
        <w:contextualSpacing/>
        <w:jc w:val="both"/>
        <w:rPr>
          <w:rFonts w:ascii="Arial" w:eastAsia="Calibri" w:hAnsi="Arial" w:cs="Arial"/>
        </w:rPr>
      </w:pPr>
    </w:p>
    <w:p w:rsidR="00AA6126" w:rsidRPr="00D43504" w:rsidRDefault="00AA6126" w:rsidP="00AA6126">
      <w:pPr>
        <w:spacing w:after="240"/>
        <w:contextualSpacing/>
        <w:jc w:val="both"/>
        <w:rPr>
          <w:rFonts w:ascii="Arial" w:eastAsia="Calibri" w:hAnsi="Arial" w:cs="Arial"/>
          <w:bCs/>
          <w:color w:val="000000"/>
        </w:rPr>
      </w:pPr>
      <w:r w:rsidRPr="00D43504">
        <w:rPr>
          <w:rFonts w:ascii="Arial" w:eastAsia="Calibri" w:hAnsi="Arial" w:cs="Arial"/>
          <w:bCs/>
          <w:color w:val="000000"/>
        </w:rPr>
        <w:lastRenderedPageBreak/>
        <w:t>If you would like more detailed information about your rights under the General Data Protection Regulations, you can visit:</w:t>
      </w:r>
    </w:p>
    <w:p w:rsidR="00AA6126" w:rsidRPr="00D43504" w:rsidRDefault="00AA6126" w:rsidP="00AA6126">
      <w:pPr>
        <w:spacing w:after="240"/>
        <w:contextualSpacing/>
        <w:jc w:val="both"/>
        <w:rPr>
          <w:rFonts w:eastAsia="Calibri" w:cs="Arial"/>
          <w:bCs/>
          <w:color w:val="000000"/>
        </w:rPr>
      </w:pPr>
    </w:p>
    <w:p w:rsidR="00AA6126" w:rsidRPr="00D43504" w:rsidRDefault="00BA0385" w:rsidP="00AA6126">
      <w:pPr>
        <w:spacing w:after="240"/>
        <w:contextualSpacing/>
        <w:jc w:val="both"/>
        <w:rPr>
          <w:rFonts w:eastAsia="Calibri" w:cs="Arial"/>
          <w:bCs/>
          <w:color w:val="000000"/>
        </w:rPr>
      </w:pPr>
      <w:hyperlink r:id="rId17" w:history="1">
        <w:r w:rsidR="00AA6126" w:rsidRPr="00D43504">
          <w:rPr>
            <w:rFonts w:eastAsia="Calibri" w:cs="Arial"/>
            <w:bCs/>
            <w:color w:val="0563C1" w:themeColor="hyperlink"/>
            <w:u w:val="single"/>
          </w:rPr>
          <w:t>https://ico.org.uk/for-the-public/</w:t>
        </w:r>
      </w:hyperlink>
    </w:p>
    <w:p w:rsidR="00AA6126" w:rsidRDefault="00AA6126" w:rsidP="00AA6126">
      <w:pPr>
        <w:spacing w:after="240"/>
        <w:contextualSpacing/>
        <w:jc w:val="both"/>
        <w:rPr>
          <w:rFonts w:ascii="Arial" w:eastAsia="Calibri" w:hAnsi="Arial" w:cs="Arial"/>
        </w:rPr>
      </w:pPr>
    </w:p>
    <w:p w:rsidR="00AA6126" w:rsidRDefault="00AA6126" w:rsidP="00AA6126">
      <w:pPr>
        <w:spacing w:after="240"/>
        <w:contextualSpacing/>
        <w:jc w:val="both"/>
        <w:rPr>
          <w:rFonts w:ascii="Arial" w:eastAsia="Calibri" w:hAnsi="Arial" w:cs="Arial"/>
        </w:rPr>
      </w:pPr>
    </w:p>
    <w:p w:rsidR="00AA6126" w:rsidRPr="00D43504" w:rsidRDefault="00AA6126" w:rsidP="00AA6126">
      <w:pPr>
        <w:spacing w:after="240"/>
        <w:contextualSpacing/>
        <w:jc w:val="both"/>
        <w:rPr>
          <w:rFonts w:ascii="Arial" w:eastAsia="Calibri" w:hAnsi="Arial" w:cs="Arial"/>
          <w:b/>
        </w:rPr>
      </w:pPr>
      <w:r w:rsidRPr="00D43504">
        <w:rPr>
          <w:rFonts w:ascii="Arial" w:eastAsia="Calibri" w:hAnsi="Arial" w:cs="Arial"/>
          <w:b/>
        </w:rPr>
        <w:t>How do I complain if I am not happy?</w:t>
      </w:r>
    </w:p>
    <w:p w:rsidR="00AA6126" w:rsidRDefault="00AA6126" w:rsidP="00AA6126">
      <w:pPr>
        <w:spacing w:after="240"/>
        <w:contextualSpacing/>
        <w:jc w:val="both"/>
        <w:rPr>
          <w:rFonts w:ascii="Arial" w:eastAsia="Calibri" w:hAnsi="Arial" w:cs="Arial"/>
        </w:rPr>
      </w:pPr>
    </w:p>
    <w:p w:rsidR="00AA6126" w:rsidRDefault="00AA6126" w:rsidP="00AA6126">
      <w:pPr>
        <w:rPr>
          <w:rFonts w:ascii="Arial" w:eastAsia="Calibri" w:hAnsi="Arial" w:cs="Arial"/>
        </w:rPr>
      </w:pPr>
      <w:r>
        <w:rPr>
          <w:rFonts w:ascii="Arial" w:eastAsia="Calibri" w:hAnsi="Arial" w:cs="Arial"/>
        </w:rPr>
        <w:t xml:space="preserve">You may complaint to the NCTS Data Protection officer at:  </w:t>
      </w:r>
      <w:hyperlink r:id="rId18" w:history="1">
        <w:r w:rsidR="00BD0732" w:rsidRPr="00A1131D">
          <w:rPr>
            <w:rStyle w:val="Hyperlink"/>
            <w:rFonts w:ascii="Arial" w:eastAsia="Calibri" w:hAnsi="Arial" w:cs="Arial"/>
          </w:rPr>
          <w:t>TribunalDPcomplaints@courtsni.gov.uk</w:t>
        </w:r>
      </w:hyperlink>
    </w:p>
    <w:p w:rsidR="00BD0732" w:rsidRDefault="00BD0732" w:rsidP="00AA6126">
      <w:pPr>
        <w:rPr>
          <w:rStyle w:val="Hyperlink"/>
        </w:rPr>
      </w:pPr>
    </w:p>
    <w:p w:rsidR="00AA6126" w:rsidRDefault="00AA6126" w:rsidP="00AA6126">
      <w:pPr>
        <w:spacing w:after="240"/>
        <w:contextualSpacing/>
        <w:jc w:val="both"/>
        <w:rPr>
          <w:rFonts w:ascii="Arial" w:eastAsia="Calibri" w:hAnsi="Arial" w:cs="Arial"/>
        </w:rPr>
      </w:pPr>
    </w:p>
    <w:p w:rsidR="00AA6126" w:rsidRDefault="00AA6126" w:rsidP="00AA6126">
      <w:pPr>
        <w:rPr>
          <w:color w:val="1F497D"/>
        </w:rPr>
      </w:pPr>
      <w:r>
        <w:rPr>
          <w:rFonts w:ascii="Arial" w:eastAsia="Calibri" w:hAnsi="Arial" w:cs="Arial"/>
        </w:rPr>
        <w:t xml:space="preserve">Or if the complaint is in relation to the work of a Commissioner then you may complain to the Judicial Data Protection Judge at </w:t>
      </w:r>
      <w:hyperlink r:id="rId19" w:history="1">
        <w:r w:rsidR="00BD0732" w:rsidRPr="00A1131D">
          <w:rPr>
            <w:rStyle w:val="Hyperlink"/>
          </w:rPr>
          <w:t>TribunalDPcomplaints@courtsni.gov.uk</w:t>
        </w:r>
      </w:hyperlink>
      <w:r>
        <w:rPr>
          <w:color w:val="1F497D"/>
        </w:rPr>
        <w:t>.</w:t>
      </w:r>
    </w:p>
    <w:p w:rsidR="00AA6126" w:rsidRPr="00E2406C" w:rsidRDefault="00AA6126" w:rsidP="00AA6126">
      <w:pPr>
        <w:spacing w:after="240"/>
        <w:contextualSpacing/>
        <w:jc w:val="both"/>
        <w:rPr>
          <w:rFonts w:ascii="Arial" w:eastAsia="Calibri" w:hAnsi="Arial" w:cs="Arial"/>
          <w:bCs/>
        </w:rPr>
      </w:pPr>
    </w:p>
    <w:p w:rsidR="00AA6126" w:rsidRDefault="00AA6126" w:rsidP="00AA6126">
      <w:pPr>
        <w:jc w:val="both"/>
        <w:rPr>
          <w:rFonts w:ascii="Arial" w:hAnsi="Arial" w:cs="Arial"/>
        </w:rPr>
      </w:pPr>
      <w:r>
        <w:rPr>
          <w:rFonts w:ascii="Arial" w:hAnsi="Arial" w:cs="Arial"/>
        </w:rPr>
        <w:t>If you are still not happy, you have the right to lodge a complaint with the Information Commissioner’s Office (ICO):</w:t>
      </w:r>
    </w:p>
    <w:p w:rsidR="00AA6126" w:rsidRDefault="00AA6126" w:rsidP="00AA6126">
      <w:pPr>
        <w:jc w:val="both"/>
        <w:rPr>
          <w:rFonts w:ascii="Arial" w:hAnsi="Arial" w:cs="Arial"/>
        </w:rPr>
      </w:pPr>
    </w:p>
    <w:p w:rsidR="00AA6126" w:rsidRDefault="00AA6126" w:rsidP="00AA6126">
      <w:pPr>
        <w:jc w:val="both"/>
        <w:rPr>
          <w:rFonts w:ascii="Arial" w:hAnsi="Arial" w:cs="Arial"/>
        </w:rPr>
      </w:pPr>
      <w:r>
        <w:rPr>
          <w:rFonts w:ascii="Arial" w:hAnsi="Arial" w:cs="Arial"/>
        </w:rPr>
        <w:t>Information Commissioner’s Office</w:t>
      </w:r>
    </w:p>
    <w:p w:rsidR="00AA6126" w:rsidRDefault="00AA6126" w:rsidP="00AA6126">
      <w:pPr>
        <w:jc w:val="both"/>
        <w:rPr>
          <w:rFonts w:ascii="Arial" w:hAnsi="Arial" w:cs="Arial"/>
        </w:rPr>
      </w:pPr>
      <w:r>
        <w:rPr>
          <w:rFonts w:ascii="Arial" w:hAnsi="Arial" w:cs="Arial"/>
        </w:rPr>
        <w:t>Wycliffe House</w:t>
      </w:r>
    </w:p>
    <w:p w:rsidR="00AA6126" w:rsidRDefault="00AA6126" w:rsidP="00AA6126">
      <w:pPr>
        <w:jc w:val="both"/>
        <w:rPr>
          <w:rFonts w:ascii="Arial" w:hAnsi="Arial" w:cs="Arial"/>
        </w:rPr>
      </w:pPr>
      <w:r>
        <w:rPr>
          <w:rFonts w:ascii="Arial" w:hAnsi="Arial" w:cs="Arial"/>
        </w:rPr>
        <w:t>Water Lane</w:t>
      </w:r>
    </w:p>
    <w:p w:rsidR="00AA6126" w:rsidRDefault="00AA6126" w:rsidP="00AA6126">
      <w:pPr>
        <w:jc w:val="both"/>
        <w:rPr>
          <w:rFonts w:ascii="Arial" w:hAnsi="Arial" w:cs="Arial"/>
        </w:rPr>
      </w:pPr>
      <w:r>
        <w:rPr>
          <w:rFonts w:ascii="Arial" w:hAnsi="Arial" w:cs="Arial"/>
        </w:rPr>
        <w:t>Wilmslow</w:t>
      </w:r>
    </w:p>
    <w:p w:rsidR="00AA6126" w:rsidRDefault="00AA6126" w:rsidP="00AA6126">
      <w:pPr>
        <w:jc w:val="both"/>
        <w:rPr>
          <w:rFonts w:ascii="Arial" w:hAnsi="Arial" w:cs="Arial"/>
        </w:rPr>
      </w:pPr>
      <w:r>
        <w:rPr>
          <w:rFonts w:ascii="Arial" w:hAnsi="Arial" w:cs="Arial"/>
        </w:rPr>
        <w:t>Cheshire</w:t>
      </w:r>
    </w:p>
    <w:p w:rsidR="00AA6126" w:rsidRDefault="00AA6126" w:rsidP="00AA6126">
      <w:pPr>
        <w:jc w:val="both"/>
        <w:rPr>
          <w:rFonts w:ascii="Arial" w:hAnsi="Arial" w:cs="Arial"/>
        </w:rPr>
      </w:pPr>
      <w:r>
        <w:rPr>
          <w:rFonts w:ascii="Arial" w:hAnsi="Arial" w:cs="Arial"/>
        </w:rPr>
        <w:t>SK9 5AF</w:t>
      </w:r>
    </w:p>
    <w:p w:rsidR="00AA6126" w:rsidRDefault="00AA6126" w:rsidP="00AA6126">
      <w:pPr>
        <w:jc w:val="both"/>
        <w:rPr>
          <w:rFonts w:ascii="Arial" w:hAnsi="Arial" w:cs="Arial"/>
        </w:rPr>
      </w:pPr>
    </w:p>
    <w:p w:rsidR="00AA6126" w:rsidRDefault="00AA6126" w:rsidP="00AA6126">
      <w:pPr>
        <w:jc w:val="both"/>
        <w:rPr>
          <w:rFonts w:ascii="Arial" w:hAnsi="Arial" w:cs="Arial"/>
        </w:rPr>
      </w:pPr>
      <w:r>
        <w:rPr>
          <w:rFonts w:ascii="Arial" w:hAnsi="Arial" w:cs="Arial"/>
        </w:rPr>
        <w:t>Telephone:  0303 123 1113</w:t>
      </w:r>
    </w:p>
    <w:p w:rsidR="00AA6126" w:rsidRDefault="00AA6126" w:rsidP="00AA6126">
      <w:pPr>
        <w:jc w:val="both"/>
        <w:rPr>
          <w:rFonts w:ascii="Arial" w:hAnsi="Arial" w:cs="Arial"/>
        </w:rPr>
      </w:pPr>
      <w:r>
        <w:rPr>
          <w:rFonts w:ascii="Arial" w:hAnsi="Arial" w:cs="Arial"/>
        </w:rPr>
        <w:t xml:space="preserve">Email:  </w:t>
      </w:r>
      <w:hyperlink r:id="rId20" w:history="1">
        <w:r w:rsidRPr="00267396">
          <w:rPr>
            <w:rStyle w:val="Hyperlink"/>
            <w:rFonts w:ascii="Arial" w:hAnsi="Arial" w:cs="Arial"/>
          </w:rPr>
          <w:t>casework@ico.org.uk</w:t>
        </w:r>
      </w:hyperlink>
    </w:p>
    <w:p w:rsidR="00AA6126" w:rsidRDefault="00BA0385" w:rsidP="00AA6126">
      <w:pPr>
        <w:jc w:val="both"/>
        <w:rPr>
          <w:rFonts w:ascii="Arial" w:hAnsi="Arial" w:cs="Arial"/>
        </w:rPr>
      </w:pPr>
      <w:hyperlink r:id="rId21" w:history="1">
        <w:r w:rsidR="00AA6126" w:rsidRPr="00267396">
          <w:rPr>
            <w:rStyle w:val="Hyperlink"/>
            <w:rFonts w:ascii="Arial" w:hAnsi="Arial" w:cs="Arial"/>
          </w:rPr>
          <w:t>https://ico.org.uk/global/contact-us/</w:t>
        </w:r>
      </w:hyperlink>
    </w:p>
    <w:p w:rsidR="00AA6126" w:rsidRDefault="00AA6126" w:rsidP="00AA6126">
      <w:pPr>
        <w:jc w:val="both"/>
        <w:rPr>
          <w:rFonts w:ascii="Arial" w:hAnsi="Arial" w:cs="Arial"/>
          <w:b/>
          <w:sz w:val="24"/>
          <w:szCs w:val="24"/>
        </w:rPr>
      </w:pPr>
    </w:p>
    <w:p w:rsidR="00AA6126" w:rsidRDefault="00AA6126"/>
    <w:sectPr w:rsidR="00AA612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92" w:rsidRDefault="000D3A92" w:rsidP="00AA6126">
      <w:r>
        <w:separator/>
      </w:r>
    </w:p>
  </w:endnote>
  <w:endnote w:type="continuationSeparator" w:id="0">
    <w:p w:rsidR="000D3A92" w:rsidRDefault="000D3A92" w:rsidP="00AA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92" w:rsidRDefault="000D3A92" w:rsidP="00AA6126">
      <w:r>
        <w:separator/>
      </w:r>
    </w:p>
  </w:footnote>
  <w:footnote w:type="continuationSeparator" w:id="0">
    <w:p w:rsidR="000D3A92" w:rsidRDefault="000D3A92" w:rsidP="00AA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26" w:rsidRDefault="00AA6126" w:rsidP="00AA6126">
    <w:pPr>
      <w:pStyle w:val="Header"/>
      <w:jc w:val="right"/>
    </w:pPr>
    <w:r>
      <w:rPr>
        <w:noProof/>
        <w:lang w:eastAsia="en-GB"/>
      </w:rPr>
      <w:drawing>
        <wp:inline distT="0" distB="0" distL="0" distR="0" wp14:anchorId="20B12A62" wp14:editId="56572DD1">
          <wp:extent cx="1485900" cy="9429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18997" t="4878" r="5013" b="21951"/>
                  <a:stretch>
                    <a:fillRect/>
                  </a:stretch>
                </pic:blipFill>
                <pic:spPr bwMode="auto">
                  <a:xfrm>
                    <a:off x="0" y="0"/>
                    <a:ext cx="148590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978"/>
    <w:multiLevelType w:val="hybridMultilevel"/>
    <w:tmpl w:val="791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B422B"/>
    <w:multiLevelType w:val="hybridMultilevel"/>
    <w:tmpl w:val="81B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977CF"/>
    <w:multiLevelType w:val="hybridMultilevel"/>
    <w:tmpl w:val="11E6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3F151C"/>
    <w:multiLevelType w:val="hybridMultilevel"/>
    <w:tmpl w:val="1DD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810FF"/>
    <w:multiLevelType w:val="hybridMultilevel"/>
    <w:tmpl w:val="5160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50481"/>
    <w:multiLevelType w:val="hybridMultilevel"/>
    <w:tmpl w:val="125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F4F20"/>
    <w:multiLevelType w:val="hybridMultilevel"/>
    <w:tmpl w:val="99A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64562E"/>
    <w:multiLevelType w:val="hybridMultilevel"/>
    <w:tmpl w:val="CB08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26"/>
    <w:rsid w:val="000D3A92"/>
    <w:rsid w:val="001252A4"/>
    <w:rsid w:val="00413E70"/>
    <w:rsid w:val="006975A4"/>
    <w:rsid w:val="007A170D"/>
    <w:rsid w:val="00AA6126"/>
    <w:rsid w:val="00BA0385"/>
    <w:rsid w:val="00BD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26"/>
    <w:rPr>
      <w:color w:val="0563C1"/>
      <w:u w:val="single"/>
    </w:rPr>
  </w:style>
  <w:style w:type="paragraph" w:styleId="ListParagraph">
    <w:name w:val="List Paragraph"/>
    <w:basedOn w:val="Normal"/>
    <w:uiPriority w:val="34"/>
    <w:qFormat/>
    <w:rsid w:val="00AA6126"/>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A6126"/>
    <w:pPr>
      <w:tabs>
        <w:tab w:val="center" w:pos="4513"/>
        <w:tab w:val="right" w:pos="9026"/>
      </w:tabs>
    </w:pPr>
  </w:style>
  <w:style w:type="character" w:customStyle="1" w:styleId="HeaderChar">
    <w:name w:val="Header Char"/>
    <w:basedOn w:val="DefaultParagraphFont"/>
    <w:link w:val="Header"/>
    <w:uiPriority w:val="99"/>
    <w:rsid w:val="00AA6126"/>
    <w:rPr>
      <w:rFonts w:ascii="Calibri" w:hAnsi="Calibri" w:cs="Calibri"/>
    </w:rPr>
  </w:style>
  <w:style w:type="paragraph" w:styleId="Footer">
    <w:name w:val="footer"/>
    <w:basedOn w:val="Normal"/>
    <w:link w:val="FooterChar"/>
    <w:uiPriority w:val="99"/>
    <w:unhideWhenUsed/>
    <w:rsid w:val="00AA6126"/>
    <w:pPr>
      <w:tabs>
        <w:tab w:val="center" w:pos="4513"/>
        <w:tab w:val="right" w:pos="9026"/>
      </w:tabs>
    </w:pPr>
  </w:style>
  <w:style w:type="character" w:customStyle="1" w:styleId="FooterChar">
    <w:name w:val="Footer Char"/>
    <w:basedOn w:val="DefaultParagraphFont"/>
    <w:link w:val="Footer"/>
    <w:uiPriority w:val="99"/>
    <w:rsid w:val="00AA6126"/>
    <w:rPr>
      <w:rFonts w:ascii="Calibri" w:hAnsi="Calibri" w:cs="Calibri"/>
    </w:rPr>
  </w:style>
  <w:style w:type="paragraph" w:styleId="BalloonText">
    <w:name w:val="Balloon Text"/>
    <w:basedOn w:val="Normal"/>
    <w:link w:val="BalloonTextChar"/>
    <w:uiPriority w:val="99"/>
    <w:semiHidden/>
    <w:unhideWhenUsed/>
    <w:rsid w:val="00413E70"/>
    <w:rPr>
      <w:rFonts w:ascii="Tahoma" w:hAnsi="Tahoma" w:cs="Tahoma"/>
      <w:sz w:val="16"/>
      <w:szCs w:val="16"/>
    </w:rPr>
  </w:style>
  <w:style w:type="character" w:customStyle="1" w:styleId="BalloonTextChar">
    <w:name w:val="Balloon Text Char"/>
    <w:basedOn w:val="DefaultParagraphFont"/>
    <w:link w:val="BalloonText"/>
    <w:uiPriority w:val="99"/>
    <w:semiHidden/>
    <w:rsid w:val="00413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26"/>
    <w:rPr>
      <w:color w:val="0563C1"/>
      <w:u w:val="single"/>
    </w:rPr>
  </w:style>
  <w:style w:type="paragraph" w:styleId="ListParagraph">
    <w:name w:val="List Paragraph"/>
    <w:basedOn w:val="Normal"/>
    <w:uiPriority w:val="34"/>
    <w:qFormat/>
    <w:rsid w:val="00AA6126"/>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A6126"/>
    <w:pPr>
      <w:tabs>
        <w:tab w:val="center" w:pos="4513"/>
        <w:tab w:val="right" w:pos="9026"/>
      </w:tabs>
    </w:pPr>
  </w:style>
  <w:style w:type="character" w:customStyle="1" w:styleId="HeaderChar">
    <w:name w:val="Header Char"/>
    <w:basedOn w:val="DefaultParagraphFont"/>
    <w:link w:val="Header"/>
    <w:uiPriority w:val="99"/>
    <w:rsid w:val="00AA6126"/>
    <w:rPr>
      <w:rFonts w:ascii="Calibri" w:hAnsi="Calibri" w:cs="Calibri"/>
    </w:rPr>
  </w:style>
  <w:style w:type="paragraph" w:styleId="Footer">
    <w:name w:val="footer"/>
    <w:basedOn w:val="Normal"/>
    <w:link w:val="FooterChar"/>
    <w:uiPriority w:val="99"/>
    <w:unhideWhenUsed/>
    <w:rsid w:val="00AA6126"/>
    <w:pPr>
      <w:tabs>
        <w:tab w:val="center" w:pos="4513"/>
        <w:tab w:val="right" w:pos="9026"/>
      </w:tabs>
    </w:pPr>
  </w:style>
  <w:style w:type="character" w:customStyle="1" w:styleId="FooterChar">
    <w:name w:val="Footer Char"/>
    <w:basedOn w:val="DefaultParagraphFont"/>
    <w:link w:val="Footer"/>
    <w:uiPriority w:val="99"/>
    <w:rsid w:val="00AA6126"/>
    <w:rPr>
      <w:rFonts w:ascii="Calibri" w:hAnsi="Calibri" w:cs="Calibri"/>
    </w:rPr>
  </w:style>
  <w:style w:type="paragraph" w:styleId="BalloonText">
    <w:name w:val="Balloon Text"/>
    <w:basedOn w:val="Normal"/>
    <w:link w:val="BalloonTextChar"/>
    <w:uiPriority w:val="99"/>
    <w:semiHidden/>
    <w:unhideWhenUsed/>
    <w:rsid w:val="00413E70"/>
    <w:rPr>
      <w:rFonts w:ascii="Tahoma" w:hAnsi="Tahoma" w:cs="Tahoma"/>
      <w:sz w:val="16"/>
      <w:szCs w:val="16"/>
    </w:rPr>
  </w:style>
  <w:style w:type="character" w:customStyle="1" w:styleId="BalloonTextChar">
    <w:name w:val="Balloon Text Char"/>
    <w:basedOn w:val="DefaultParagraphFont"/>
    <w:link w:val="BalloonText"/>
    <w:uiPriority w:val="99"/>
    <w:semiHidden/>
    <w:rsid w:val="00413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parolecomni.gov.uk" TargetMode="External"/><Relationship Id="rId13" Type="http://schemas.openxmlformats.org/officeDocument/2006/relationships/hyperlink" Target="https://ico.org.uk/for-organisations/data-protection-reform/overview-of-the-gdpr/individuals-rights/the-right-to-restrict-processing/" TargetMode="External"/><Relationship Id="rId18" Type="http://schemas.openxmlformats.org/officeDocument/2006/relationships/hyperlink" Target="mailto:TribunalDPcomplaints@courtsni.gov.uk" TargetMode="External"/><Relationship Id="rId3" Type="http://schemas.microsoft.com/office/2007/relationships/stylesWithEffects" Target="stylesWithEffects.xml"/><Relationship Id="rId21" Type="http://schemas.openxmlformats.org/officeDocument/2006/relationships/hyperlink" Target="https://ico.org.uk/global/contact-us/" TargetMode="External"/><Relationship Id="rId7" Type="http://schemas.openxmlformats.org/officeDocument/2006/relationships/endnotes" Target="endnotes.xml"/><Relationship Id="rId12" Type="http://schemas.openxmlformats.org/officeDocument/2006/relationships/hyperlink" Target="https://ico.org.uk/for-organisations/data-protection-reform/overview-of-the-gdpr/individuals-rights/the-right-to-erasure/" TargetMode="External"/><Relationship Id="rId17" Type="http://schemas.openxmlformats.org/officeDocument/2006/relationships/hyperlink" Target="https://ico.org.uk/for-the-public/" TargetMode="External"/><Relationship Id="rId2" Type="http://schemas.openxmlformats.org/officeDocument/2006/relationships/styles" Target="styles.xml"/><Relationship Id="rId16" Type="http://schemas.openxmlformats.org/officeDocument/2006/relationships/hyperlink" Target="https://ico.org.uk/for-organisations/data-protection-reform/overview-of-the-gdpr/individuals-rights/rights-related-to-automated-decision-making-and-profiling/" TargetMode="External"/><Relationship Id="rId20"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data-protection-reform/overview-of-the-gdpr/individuals-rights/the-right-to-rectif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for-organisations/data-protection-reform/overview-of-the-gdpr/individuals-rights/the-right-to-object/" TargetMode="External"/><Relationship Id="rId23" Type="http://schemas.openxmlformats.org/officeDocument/2006/relationships/fontTable" Target="fontTable.xml"/><Relationship Id="rId10" Type="http://schemas.openxmlformats.org/officeDocument/2006/relationships/hyperlink" Target="https://ico.org.uk/for-organisations/data-protection-reform/overview-of-the-gdpr/individuals-rights/the-right-of-access/" TargetMode="External"/><Relationship Id="rId19" Type="http://schemas.openxmlformats.org/officeDocument/2006/relationships/hyperlink" Target="mailto:TribunalDPcomplaints@courtsni.gov.uk" TargetMode="External"/><Relationship Id="rId4" Type="http://schemas.openxmlformats.org/officeDocument/2006/relationships/settings" Target="settings.xml"/><Relationship Id="rId9" Type="http://schemas.openxmlformats.org/officeDocument/2006/relationships/hyperlink" Target="mailto:TribunalDPcomplaints@courtsni.gov.uk" TargetMode="External"/><Relationship Id="rId14" Type="http://schemas.openxmlformats.org/officeDocument/2006/relationships/hyperlink" Target="https://ico.org.uk/for-organisations/data-protection-reform/overview-of-the-gdpr/individuals-rights/the-right-to-data-portabili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McIlwaine (PCNI), Kerry</dc:creator>
  <cp:lastModifiedBy>Whitall, Hannah</cp:lastModifiedBy>
  <cp:revision>2</cp:revision>
  <dcterms:created xsi:type="dcterms:W3CDTF">2021-03-30T13:10:00Z</dcterms:created>
  <dcterms:modified xsi:type="dcterms:W3CDTF">2021-03-30T13:10:00Z</dcterms:modified>
</cp:coreProperties>
</file>